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Antireflektive Strukturen zur Effizienzsteigerung optischer Hybridpolymere – Herstellung und Anwendungen</w:t>
      </w:r>
    </w:p>
    <w:p w14:paraId="4A97C1BC" w14:textId="77777777" w:rsidR="0079407B" w:rsidRPr="00B1734B" w:rsidRDefault="0079407B">
      <w:pPr>
        <w:pStyle w:val="Autoren"/>
      </w:pPr>
      <w:r>
        <w:t xml:space="preserve">L. Werner*, M. Abend*, H. Wagner*, Z. Diao**, N. Hagen***, R. Busch****, R. Brunner*</w:t>
      </w:r>
    </w:p>
    <w:p w14:paraId="3AF02BAE" w14:textId="77777777" w:rsidR="0079407B" w:rsidRPr="00B1734B" w:rsidRDefault="004C4F8F">
      <w:pPr>
        <w:pStyle w:val="Organisation"/>
      </w:pPr>
      <w:proofErr w:type="spellStart"/>
      <w:proofErr w:type="spellEnd"/>
      <w:r>
        <w:t xml:space="preserve">* SciTec, Ernst Abbe Hochschule Jena - University of Applied Sciences</w:t>
        <w:br/>
        <w:t xml:space="preserve">** Max Planck Institute for Medical Research</w:t>
        <w:br/>
        <w:t xml:space="preserve">*** mcd - modern camera designs GmbH</w:t>
        <w:br/>
        <w:t xml:space="preserve">**** Fraunhofer Institute for Microstructure of Materials and Systems (IMWS)</w:t>
      </w:r>
    </w:p>
    <w:p w14:paraId="2AC878A5" w14:textId="77777777" w:rsidR="004C4F8F" w:rsidRPr="00B1734B" w:rsidRDefault="004C4F8F" w:rsidP="00C7793A">
      <w:pPr>
        <w:pStyle w:val="Kontaktemail"/>
        <w:rPr>
          <w:rStyle w:val="Hyperlink"/>
        </w:rPr>
      </w:pPr>
      <w:r>
        <w:t xml:space="preserve">Lukas.Werner@eah-jena.de</w:t>
      </w:r>
    </w:p>
    <w:p w14:paraId="67C921E3" w14:textId="77777777" w:rsidR="0079407B" w:rsidRPr="00B1734B" w:rsidRDefault="0079407B">
      <w:pPr>
        <w:pStyle w:val="Abstract"/>
      </w:pPr>
      <w:r>
        <w:t xml:space="preserve">Antireflektierende Oberflächen spielen eine zentrale Rolle in der Leistungssteigerung moderner optischer Systeme, da sie sowohl unerwünschte Reflexionen und Falschlicht reduzieren als auch die Transmission und damit die Gesamteffizienz erhöhen. Konventionell werden hierfür dünnschichtbasierte Antireflexbeschichtungen eingesetzt. Diese weisen jedoch aufgrund ihrer begrenzten spektralen Wirksamkeit, ausgeprägten Winkelabhängigkeit sowie einer erhöhten Anfälligkeit gegenüber Umwelteinflüssen wie Feuchte oder Temperaturschwankungen entscheidende Einschränkungen auf. Eine vielversprechende Alternative stellen antireflektierende Subwellenlängenstrukturen dar, die direkt in das Substrat der optischen Elemente integriert werden. Der vorliegende Beitrag untersucht Fertigungsstrategien und technologische Umsetzungen derartiger Strukturen, mit dem Ziel einer signifikanten Transmissionssteigerung über breite spektrale Bereiche und bei stark variierenden Einfallswinkeln. Ein besonderer Fokus liegt auf der Anwendung dieser Konzepte bei Hybridpolymeren, die insbesondere in der Herstellung von Mikrolinsen sowie in der Nanoimprint-Lithografie von hoher Relevanz sind. Mithilfe eines maskenlosen Trockenätzprozesses wurden in diesen Polymeren Subwellenlängenstrukturen mit kontrollierter Höhe erzeugt, die Transmissionseffizienzen von bis zu 95 % im</w:t>
        <w:br/>
        <w:t xml:space="preserve"/>
        <w:br/>
        <w:t xml:space="preserve">Spektralbereich von 450 nm bis 2000 nm erreichen. Zusätzlich zeigten die strukturierten Oberflächen ausgeprägte hydrophobe Eigenschaften, wobei sich die Kontaktwinkel im Vergleich zu unstrukturierten Referenzen etwa verdoppelten. Dies erhöht die Robustheit der Oberflächen gegenüber Verschmutzung und unterstreicht ihre Eignung für anspruchsvolle optische Anwendungen.</w:t>
        <w:br/>
        <w:t xml:space="preserve"/>
        <w:br/>
        <w:t xml:space="preserve">86</w:t>
        <w:br/>
        <w:t xml:space="preserve"/>
        <w:br/>
        <w:t xml:space="preserve">che Materialien ephan Reichelt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