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Eigenschaften von optischen Gläsern für Laseranwendungen</w:t>
      </w:r>
    </w:p>
    <w:p w14:paraId="4A97C1BC" w14:textId="77777777" w:rsidR="0079407B" w:rsidRPr="00B1734B" w:rsidRDefault="0079407B">
      <w:pPr>
        <w:pStyle w:val="Autoren"/>
      </w:pPr>
      <w:r>
        <w:t xml:space="preserve">R. Jedamzik, U. Petzold, H. Kaufmann</w:t>
      </w:r>
    </w:p>
    <w:p w14:paraId="3AF02BAE" w14:textId="77777777" w:rsidR="0079407B" w:rsidRPr="00B1734B" w:rsidRDefault="004C4F8F">
      <w:pPr>
        <w:pStyle w:val="Organisation"/>
      </w:pPr>
      <w:proofErr w:type="spellStart"/>
      <w:proofErr w:type="spellEnd"/>
      <w:r>
        <w:t xml:space="preserve">SCHOTT AG</w:t>
      </w:r>
    </w:p>
    <w:p w14:paraId="2AC878A5" w14:textId="77777777" w:rsidR="004C4F8F" w:rsidRPr="00B1734B" w:rsidRDefault="004C4F8F" w:rsidP="00C7793A">
      <w:pPr>
        <w:pStyle w:val="Kontaktemail"/>
        <w:rPr>
          <w:rStyle w:val="Hyperlink"/>
        </w:rPr>
      </w:pPr>
      <w:r>
        <w:t xml:space="preserve">ralf.jedamzik@schott.com</w:t>
      </w:r>
    </w:p>
    <w:p w14:paraId="67C921E3" w14:textId="77777777" w:rsidR="0079407B" w:rsidRPr="00B1734B" w:rsidRDefault="0079407B">
      <w:pPr>
        <w:pStyle w:val="Abstract"/>
      </w:pPr>
      <w:r>
        <w:t xml:space="preserve">Optische Gläser stellen eine technisch relevante Alternative zu Quarzglas in strahlführenden Komponenten für Laseranwendungen dar. Bei der Auswahl des geeigneten Materials sind neben den optischen Eigenschaften insbesondere die Laserfestigkeit der Gläser entscheidend. Hierbei wird zwischen der laserinduzierten Schadensschwelle, welche</w:t>
        <w:br/>
        <w:t xml:space="preserve"/>
        <w:br/>
        <w:t xml:space="preserve">unmittelbare Schädigungen am Glas verursacht, und Veränderungen der Transmission</w:t>
        <w:br/>
        <w:t xml:space="preserve"/>
        <w:br/>
        <w:t xml:space="preserve">durch Solarisationseffekte unterschieden. Darüber hinaus ist der nichtlineare Brechungs-</w:t>
        <w:br/>
        <w:t xml:space="preserve"/>
        <w:br/>
        <w:t xml:space="preserve">index ein wesentlicher Faktor bei der Materialauswahl für optische Gläser. Diese Präsen-</w:t>
        <w:br/>
        <w:t xml:space="preserve"/>
        <w:br/>
        <w:t xml:space="preserve">tation bietet einen Überblick über die verfügbaren Daten zu optischen Gläsern der Firma</w:t>
        <w:br/>
        <w:t xml:space="preserve"/>
        <w:br/>
        <w:t xml:space="preserve">SCHOTT für passive Laserkomponenten und berücksichtigt dabei auch aktuelle Anwendungen, wie beispielsweise die Materialbearbeitung mittels blauer Laserstrahlung.</w:t>
        <w:br/>
        <w:t xml:space="preserve"/>
        <w:br/>
        <w:t xml:space="preserve">110</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