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Adolf Lohmann and the Return of the Optical Computer: Vision, Legacy, and Lessons for the AI Age</w:t>
      </w:r>
    </w:p>
    <w:p w14:paraId="62BF219F" w14:textId="77777777" w:rsidR="0079407B" w:rsidRPr="00FC077E" w:rsidRDefault="003372F7">
      <w:pPr>
        <w:pStyle w:val="Autoren"/>
        <w:rPr>
          <w:lang w:val="en-US"/>
        </w:rPr>
      </w:pPr>
      <w:r>
        <w:t xml:space="preserve">R. Völkel</w:t>
      </w:r>
    </w:p>
    <w:p w14:paraId="5979CC51" w14:textId="77777777" w:rsidR="0079407B" w:rsidRPr="00FC077E" w:rsidRDefault="004C4F8F">
      <w:pPr>
        <w:pStyle w:val="Organisation"/>
        <w:rPr>
          <w:lang w:val="en-US"/>
        </w:rPr>
      </w:pPr>
      <w:r>
        <w:t xml:space="preserve">In the 1980s, Adolf W. Lohmann envisioned optical computers and optical interconnects.</w:t>
        <w:br/>
        <w:t xml:space="preserve">Infor-mation processing based on light rather than electrons, exploiting massive paralle-</w:t>
        <w:br/>
        <w:t xml:space="preserve">lism inherent to optical systems. At the time, this vision was widely regarded as too visio-</w:t>
        <w:br/>
        <w:t xml:space="preserve">nary and economically unrealistic. Today, as AI drives exponential data growth and pow-</w:t>
        <w:br/>
        <w:t xml:space="preserve">er demand, photonic processors and optical interconnects promise massive efficiency</w:t>
        <w:br/>
        <w:t xml:space="preserve">gains. This talk revisits Lohmann’s fore-sight - from Fourier optics to photonic AI. Marking</w:t>
        <w:br/>
        <w:t xml:space="preserve">his 100th birthday, we pay tribute to Adolf W. Lohmann, a visionary whose ideas, once</w:t>
        <w:br/>
        <w:t xml:space="preserve">ahead of their time, continue to inspire future innova-tions.</w:t>
        <w:br/>
        <w:t xml:space="preserve">09:45-10:15 Kaffeepause</w:t>
        <w:br/>
        <w:t xml:space="preserve">72</w:t>
        <w:br/>
        <w:t xml:space="preserve">sium zum 100sten Geburtstag von Prof. Adolf Lohmann</w:t>
        <w:br/>
        <w:t xml:space="preserve">Stefan Sinzinger</w:t>
        <w:br/>
        <w:t xml:space="preserve">F</w:t>
        <w:br/>
        <w:t xml:space="preserve">R</w:t>
        <w:br/>
        <w:t xml:space="preserve">E</w:t>
        <w:br/>
        <w:t xml:space="preserve">I</w:t>
        <w:br/>
        <w:t xml:space="preserve">T</w:t>
        <w:br/>
        <w:t xml:space="preserve">A</w:t>
        <w:br/>
        <w:t xml:space="preserve">G</w:t>
      </w:r>
    </w:p>
    <w:p w14:paraId="30A02D6C" w14:textId="77777777" w:rsidR="004C4F8F" w:rsidRPr="00FC077E" w:rsidRDefault="004C4F8F" w:rsidP="00C7793A">
      <w:pPr>
        <w:pStyle w:val="Kontaktemail"/>
        <w:rPr>
          <w:rStyle w:val="Hyperlink"/>
          <w:lang w:val="en-US"/>
        </w:rPr>
      </w:pPr>
      <w:r w:rsidRPr="00FC077E">
        <w:rPr>
          <w:rStyle w:val="Hyperlink"/>
          <w:lang w:val="en-US"/>
        </w:rPr>
        <w:t>mailto:</w:t>
      </w:r>
      <w:r w:rsidR="003372F7">
        <w:rPr>
          <w:rStyle w:val="Hyperlink"/>
          <w:lang w:val="en-US"/>
        </w:rPr>
        <w:t>peter</w:t>
      </w:r>
      <w:r w:rsidRPr="00FC077E">
        <w:rPr>
          <w:rStyle w:val="Hyperlink"/>
          <w:lang w:val="en-US"/>
        </w:rPr>
        <w:t>.</w:t>
      </w:r>
      <w:r w:rsidR="003372F7">
        <w:rPr>
          <w:rStyle w:val="Hyperlink"/>
          <w:lang w:val="en-US"/>
        </w:rPr>
        <w:t>primary</w:t>
      </w:r>
      <w:r w:rsidRPr="00FC077E">
        <w:rPr>
          <w:rStyle w:val="Hyperlink"/>
          <w:lang w:val="en-US"/>
        </w:rPr>
        <w:t>@</w:t>
      </w:r>
      <w:r w:rsidR="00A96650" w:rsidRPr="00FC077E">
        <w:rPr>
          <w:rStyle w:val="Hyperlink"/>
          <w:lang w:val="en-US"/>
        </w:rPr>
        <w:t>somewhere.edu</w:t>
      </w:r>
    </w:p>
    <w:p w14:paraId="0BFB5497" w14:textId="77777777" w:rsidR="0079407B" w:rsidRPr="00FC077E" w:rsidRDefault="00E536F8">
      <w:pPr>
        <w:pStyle w:val="Abstract"/>
        <w:rPr>
          <w:lang w:val="en-US"/>
        </w:rPr>
      </w:pPr>
      <w:r w:rsidRPr="00FC077E">
        <w:rPr>
          <w:lang w:val="en-US"/>
        </w:rPr>
        <w:t>This is a short abstract which is at most five lines long and not identical to the longer abstract that has been submitted during registration. The following text moves down if the abstract gets longer.</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